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Arial" w:cs="Arial" w:eastAsia="Arial" w:hAnsi="Arial"/>
          <w:b w:val="1"/>
        </w:rPr>
      </w:pPr>
      <w:r w:rsidDel="00000000" w:rsidR="00000000" w:rsidRPr="00000000">
        <w:rPr>
          <w:rFonts w:ascii="Arial" w:cs="Arial" w:eastAsia="Arial" w:hAnsi="Arial"/>
          <w:b w:val="1"/>
          <w:rtl w:val="0"/>
        </w:rPr>
        <w:t xml:space="preserve">EDITAL DE CONVOCAÇÃO</w:t>
      </w:r>
    </w:p>
    <w:p w:rsidR="00000000" w:rsidDel="00000000" w:rsidP="00000000" w:rsidRDefault="00000000" w:rsidRPr="00000000" w14:paraId="00000002">
      <w:pPr>
        <w:spacing w:after="120" w:lineRule="auto"/>
        <w:jc w:val="both"/>
        <w:rPr>
          <w:rFonts w:ascii="Arial" w:cs="Arial" w:eastAsia="Arial" w:hAnsi="Arial"/>
        </w:rPr>
      </w:pPr>
      <w:r w:rsidDel="00000000" w:rsidR="00000000" w:rsidRPr="00000000">
        <w:rPr>
          <w:rFonts w:ascii="Arial" w:cs="Arial" w:eastAsia="Arial" w:hAnsi="Arial"/>
          <w:rtl w:val="0"/>
        </w:rPr>
        <w:t xml:space="preserve">A Comissão Eleitoral do Conselho Municipal de Defesa dos Direitos Humanos - CMDDH Belém, com base na </w:t>
      </w:r>
      <w:r w:rsidDel="00000000" w:rsidR="00000000" w:rsidRPr="00000000">
        <w:rPr>
          <w:rFonts w:ascii="Arial" w:cs="Arial" w:eastAsia="Arial" w:hAnsi="Arial"/>
          <w:b w:val="1"/>
          <w:rtl w:val="0"/>
        </w:rPr>
        <w:t xml:space="preserve">Lei nº 7.823</w:t>
      </w:r>
      <w:r w:rsidDel="00000000" w:rsidR="00000000" w:rsidRPr="00000000">
        <w:rPr>
          <w:rFonts w:ascii="Arial" w:cs="Arial" w:eastAsia="Arial" w:hAnsi="Arial"/>
          <w:rtl w:val="0"/>
        </w:rPr>
        <w:t xml:space="preserve"> de 22 de janeiro de 1997, torna público que se encontra aberto o período para credenciamento de entidades da sociedade civil, no âmbito do município de Belém, para participar da Assembleia Geral para condução do processo eletivo à composição do CMDDH Belém, biênio 2023/2025, a ocorrer no </w:t>
      </w:r>
      <w:r w:rsidDel="00000000" w:rsidR="00000000" w:rsidRPr="00000000">
        <w:rPr>
          <w:rFonts w:ascii="Arial" w:cs="Arial" w:eastAsia="Arial" w:hAnsi="Arial"/>
          <w:b w:val="1"/>
          <w:rtl w:val="0"/>
        </w:rPr>
        <w:t xml:space="preserve">dia 23 de agosto de 2023</w:t>
      </w:r>
      <w:r w:rsidDel="00000000" w:rsidR="00000000" w:rsidRPr="00000000">
        <w:rPr>
          <w:rFonts w:ascii="Arial" w:cs="Arial" w:eastAsia="Arial" w:hAnsi="Arial"/>
          <w:rtl w:val="0"/>
        </w:rPr>
        <w:t xml:space="preserve">.</w:t>
      </w:r>
    </w:p>
    <w:p w:rsidR="00000000" w:rsidDel="00000000" w:rsidP="00000000" w:rsidRDefault="00000000" w:rsidRPr="00000000" w14:paraId="00000003">
      <w:pPr>
        <w:spacing w:after="120" w:lineRule="auto"/>
        <w:jc w:val="both"/>
        <w:rPr>
          <w:rFonts w:ascii="Arial" w:cs="Arial" w:eastAsia="Arial" w:hAnsi="Arial"/>
        </w:rPr>
      </w:pPr>
      <w:r w:rsidDel="00000000" w:rsidR="00000000" w:rsidRPr="00000000">
        <w:rPr>
          <w:rFonts w:ascii="Arial" w:cs="Arial" w:eastAsia="Arial" w:hAnsi="Arial"/>
          <w:rtl w:val="0"/>
        </w:rPr>
        <w:t xml:space="preserve">As entidades da sociedade civil interessadas deverão se credenciar no período de 31 de julho a 07 de agosto de 2023, encaminhando os documentos listados abaixo para o endereço eletrônico: conselho.cmddh.belem@gmail.com, até o último dia do prazo, às 23h59:</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Documentos da entidade:</w:t>
      </w:r>
    </w:p>
    <w:p w:rsidR="00000000" w:rsidDel="00000000" w:rsidP="00000000" w:rsidRDefault="00000000" w:rsidRPr="00000000" w14:paraId="00000005">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Ficha de credenciamento da entidade (ANEXO I);</w:t>
      </w:r>
    </w:p>
    <w:p w:rsidR="00000000" w:rsidDel="00000000" w:rsidP="00000000" w:rsidRDefault="00000000" w:rsidRPr="00000000" w14:paraId="00000006">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Ficha de credenciamento dos candidatos (ANEXO II);</w:t>
      </w:r>
    </w:p>
    <w:p w:rsidR="00000000" w:rsidDel="00000000" w:rsidP="00000000" w:rsidRDefault="00000000" w:rsidRPr="00000000" w14:paraId="00000007">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Comprovante de inscrição no CNPJ - Cadastro Nacional de Pessoa Jurídica;</w:t>
      </w:r>
    </w:p>
    <w:p w:rsidR="00000000" w:rsidDel="00000000" w:rsidP="00000000" w:rsidRDefault="00000000" w:rsidRPr="00000000" w14:paraId="00000008">
      <w:pPr>
        <w:numPr>
          <w:ilvl w:val="0"/>
          <w:numId w:val="3"/>
        </w:numPr>
        <w:ind w:left="720" w:hanging="360"/>
        <w:jc w:val="both"/>
        <w:rPr>
          <w:rFonts w:ascii="Arial" w:cs="Arial" w:eastAsia="Arial" w:hAnsi="Arial"/>
        </w:rPr>
      </w:pPr>
      <w:r w:rsidDel="00000000" w:rsidR="00000000" w:rsidRPr="00000000">
        <w:rPr>
          <w:rFonts w:ascii="Arial" w:cs="Arial" w:eastAsia="Arial" w:hAnsi="Arial"/>
          <w:rtl w:val="0"/>
        </w:rPr>
        <w:t xml:space="preserve">Ata de constituição social, registrada em cartório;</w:t>
      </w:r>
    </w:p>
    <w:p w:rsidR="00000000" w:rsidDel="00000000" w:rsidP="00000000" w:rsidRDefault="00000000" w:rsidRPr="00000000" w14:paraId="00000009">
      <w:pPr>
        <w:numPr>
          <w:ilvl w:val="0"/>
          <w:numId w:val="3"/>
        </w:numPr>
        <w:spacing w:after="120" w:lineRule="auto"/>
        <w:ind w:left="720" w:hanging="360"/>
        <w:jc w:val="both"/>
        <w:rPr>
          <w:rFonts w:ascii="Arial" w:cs="Arial" w:eastAsia="Arial" w:hAnsi="Arial"/>
        </w:rPr>
      </w:pPr>
      <w:r w:rsidDel="00000000" w:rsidR="00000000" w:rsidRPr="00000000">
        <w:rPr>
          <w:rFonts w:ascii="Arial" w:cs="Arial" w:eastAsia="Arial" w:hAnsi="Arial"/>
          <w:rtl w:val="0"/>
        </w:rPr>
        <w:t xml:space="preserve">Ata de eleição da atual diretoria da entidade, devidamente registrada em cartório.</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Documentos dos candidatos a titular e suplente:</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RG;</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CPF;</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Título de eleitor;</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Comprovante de residência;</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Comprovante de vínculo com a entidade;</w:t>
      </w:r>
    </w:p>
    <w:p w:rsidR="00000000" w:rsidDel="00000000" w:rsidP="00000000" w:rsidRDefault="00000000" w:rsidRPr="00000000" w14:paraId="00000010">
      <w:pPr>
        <w:spacing w:after="120" w:lineRule="auto"/>
        <w:jc w:val="both"/>
        <w:rPr>
          <w:rFonts w:ascii="Arial" w:cs="Arial" w:eastAsia="Arial" w:hAnsi="Arial"/>
        </w:rPr>
      </w:pPr>
      <w:r w:rsidDel="00000000" w:rsidR="00000000" w:rsidRPr="00000000">
        <w:rPr>
          <w:rFonts w:ascii="Arial" w:cs="Arial" w:eastAsia="Arial" w:hAnsi="Arial"/>
          <w:rtl w:val="0"/>
        </w:rPr>
        <w:t xml:space="preserve">As Fichas de Credenciamento estarão disponíveis na página da Fundação Papa João XXIII </w:t>
      </w:r>
      <w:r w:rsidDel="00000000" w:rsidR="00000000" w:rsidRPr="00000000">
        <w:rPr>
          <w:rFonts w:ascii="Arial" w:cs="Arial" w:eastAsia="Arial" w:hAnsi="Arial"/>
          <w:rtl w:val="0"/>
        </w:rPr>
        <w:t xml:space="preserve">(</w:t>
      </w:r>
      <w:hyperlink r:id="rId7">
        <w:r w:rsidDel="00000000" w:rsidR="00000000" w:rsidRPr="00000000">
          <w:rPr>
            <w:rFonts w:ascii="Arial" w:cs="Arial" w:eastAsia="Arial" w:hAnsi="Arial"/>
            <w:color w:val="1155cc"/>
            <w:u w:val="single"/>
            <w:rtl w:val="0"/>
          </w:rPr>
          <w:t xml:space="preserve">https://funpapa.belem.pa.gov.br/</w:t>
        </w:r>
      </w:hyperlink>
      <w:r w:rsidDel="00000000" w:rsidR="00000000" w:rsidRPr="00000000">
        <w:rPr>
          <w:rFonts w:ascii="Arial" w:cs="Arial" w:eastAsia="Arial" w:hAnsi="Arial"/>
          <w:rtl w:val="0"/>
        </w:rPr>
        <w:t xml:space="preserve">) / Link</w:t>
      </w:r>
      <w:r w:rsidDel="00000000" w:rsidR="00000000" w:rsidRPr="00000000">
        <w:rPr>
          <w:rFonts w:ascii="Arial" w:cs="Arial" w:eastAsia="Arial" w:hAnsi="Arial"/>
          <w:rtl w:val="0"/>
        </w:rPr>
        <w:t xml:space="preserve"> do Drive </w:t>
      </w:r>
      <w:r w:rsidDel="00000000" w:rsidR="00000000" w:rsidRPr="00000000">
        <w:rPr>
          <w:rFonts w:ascii="Arial" w:cs="Arial" w:eastAsia="Arial" w:hAnsi="Arial"/>
          <w:rtl w:val="0"/>
        </w:rPr>
        <w:t xml:space="preserve">a partir da data de publicação deste Edital no Diário Oficial do Município.</w:t>
      </w:r>
    </w:p>
    <w:p w:rsidR="00000000" w:rsidDel="00000000" w:rsidP="00000000" w:rsidRDefault="00000000" w:rsidRPr="00000000" w14:paraId="00000011">
      <w:pPr>
        <w:spacing w:after="120" w:lineRule="auto"/>
        <w:jc w:val="both"/>
        <w:rPr>
          <w:rFonts w:ascii="Arial" w:cs="Arial" w:eastAsia="Arial" w:hAnsi="Arial"/>
        </w:rPr>
      </w:pPr>
      <w:r w:rsidDel="00000000" w:rsidR="00000000" w:rsidRPr="00000000">
        <w:rPr>
          <w:rFonts w:ascii="Arial" w:cs="Arial" w:eastAsia="Arial" w:hAnsi="Arial"/>
          <w:rtl w:val="0"/>
        </w:rPr>
        <w:t xml:space="preserve">A Comissão Eleitoral não se responsabilizará por solicitação de credenciamento não recebida por motivos de ordem técnica dos computadores, de falhas de comunicação, de congestionamento das linhas de comunicação, bem como por outros fatores que impossibilitem a transferência de dados.</w:t>
      </w:r>
    </w:p>
    <w:p w:rsidR="00000000" w:rsidDel="00000000" w:rsidP="00000000" w:rsidRDefault="00000000" w:rsidRPr="00000000" w14:paraId="00000012">
      <w:pPr>
        <w:spacing w:after="120" w:lineRule="auto"/>
        <w:jc w:val="both"/>
        <w:rPr>
          <w:rFonts w:ascii="Arial" w:cs="Arial" w:eastAsia="Arial" w:hAnsi="Arial"/>
        </w:rPr>
      </w:pPr>
      <w:r w:rsidDel="00000000" w:rsidR="00000000" w:rsidRPr="00000000">
        <w:rPr>
          <w:rFonts w:ascii="Arial" w:cs="Arial" w:eastAsia="Arial" w:hAnsi="Arial"/>
          <w:rtl w:val="0"/>
        </w:rPr>
        <w:t xml:space="preserve">O resultado preliminar do credenciamento das entidades será publicado no Diário Oficial do Município de Belém e na página eletrônica da Fundação Papa João XXIII (https://funpapa.belem.pa.gov.br/), bem como será enviado para os e-mails indicados pelas instituições no ato da inscrição.</w:t>
      </w:r>
    </w:p>
    <w:p w:rsidR="00000000" w:rsidDel="00000000" w:rsidP="00000000" w:rsidRDefault="00000000" w:rsidRPr="00000000" w14:paraId="00000013">
      <w:pPr>
        <w:spacing w:after="120" w:lineRule="auto"/>
        <w:jc w:val="both"/>
        <w:rPr>
          <w:rFonts w:ascii="Arial" w:cs="Arial" w:eastAsia="Arial" w:hAnsi="Arial"/>
        </w:rPr>
      </w:pPr>
      <w:r w:rsidDel="00000000" w:rsidR="00000000" w:rsidRPr="00000000">
        <w:rPr>
          <w:rFonts w:ascii="Arial" w:cs="Arial" w:eastAsia="Arial" w:hAnsi="Arial"/>
          <w:rtl w:val="0"/>
        </w:rPr>
        <w:t xml:space="preserve">Havendo interesse em recorrer deverá ser protocolado o recurso via e-mail, devidamente justificado, até dois dias úteis após a publicação do resultado da habilitação do credenciamento no Diário Oficial do Município, no endereço eletrônico </w:t>
      </w:r>
      <w:r w:rsidDel="00000000" w:rsidR="00000000" w:rsidRPr="00000000">
        <w:rPr>
          <w:rFonts w:ascii="Arial" w:cs="Arial" w:eastAsia="Arial" w:hAnsi="Arial"/>
          <w:color w:val="000000"/>
          <w:rtl w:val="0"/>
        </w:rPr>
        <w:t xml:space="preserve">conselho.cmddh.belem@gmail.com</w:t>
      </w:r>
      <w:r w:rsidDel="00000000" w:rsidR="00000000" w:rsidRPr="00000000">
        <w:rPr>
          <w:rFonts w:ascii="Arial" w:cs="Arial" w:eastAsia="Arial" w:hAnsi="Arial"/>
          <w:rtl w:val="0"/>
        </w:rPr>
        <w:t xml:space="preserve">, até as 23h59.</w:t>
      </w:r>
    </w:p>
    <w:p w:rsidR="00000000" w:rsidDel="00000000" w:rsidP="00000000" w:rsidRDefault="00000000" w:rsidRPr="00000000" w14:paraId="00000014">
      <w:pPr>
        <w:spacing w:after="120" w:lineRule="auto"/>
        <w:jc w:val="both"/>
        <w:rPr>
          <w:rFonts w:ascii="Arial" w:cs="Arial" w:eastAsia="Arial" w:hAnsi="Arial"/>
        </w:rPr>
      </w:pPr>
      <w:r w:rsidDel="00000000" w:rsidR="00000000" w:rsidRPr="00000000">
        <w:rPr>
          <w:rFonts w:ascii="Arial" w:cs="Arial" w:eastAsia="Arial" w:hAnsi="Arial"/>
          <w:rtl w:val="0"/>
        </w:rPr>
        <w:t xml:space="preserve">Não será possível usar o prazo de recurso para entregar documento obrigatório que não foi entregue no ato da inscrição.</w:t>
      </w:r>
    </w:p>
    <w:p w:rsidR="00000000" w:rsidDel="00000000" w:rsidP="00000000" w:rsidRDefault="00000000" w:rsidRPr="00000000" w14:paraId="00000015">
      <w:pPr>
        <w:spacing w:after="120" w:lineRule="auto"/>
        <w:jc w:val="both"/>
        <w:rPr>
          <w:rFonts w:ascii="Arial" w:cs="Arial" w:eastAsia="Arial" w:hAnsi="Arial"/>
        </w:rPr>
      </w:pPr>
      <w:r w:rsidDel="00000000" w:rsidR="00000000" w:rsidRPr="00000000">
        <w:rPr>
          <w:rFonts w:ascii="Arial" w:cs="Arial" w:eastAsia="Arial" w:hAnsi="Arial"/>
          <w:rtl w:val="0"/>
        </w:rPr>
        <w:t xml:space="preserve">A análise dos recursos ocorrerá em até 3 dias úteis após findar a data de interposição dos recursos.</w:t>
      </w:r>
    </w:p>
    <w:p w:rsidR="00000000" w:rsidDel="00000000" w:rsidP="00000000" w:rsidRDefault="00000000" w:rsidRPr="00000000" w14:paraId="00000016">
      <w:pPr>
        <w:spacing w:after="120" w:lineRule="auto"/>
        <w:jc w:val="both"/>
        <w:rPr>
          <w:rFonts w:ascii="Arial" w:cs="Arial" w:eastAsia="Arial" w:hAnsi="Arial"/>
        </w:rPr>
      </w:pPr>
      <w:r w:rsidDel="00000000" w:rsidR="00000000" w:rsidRPr="00000000">
        <w:rPr>
          <w:rFonts w:ascii="Arial" w:cs="Arial" w:eastAsia="Arial" w:hAnsi="Arial"/>
          <w:rtl w:val="0"/>
        </w:rPr>
        <w:t xml:space="preserve">A divulgação do resultado final do credenciamento das entidades será no dia 17 de agosto de 2023</w:t>
      </w:r>
      <w:r w:rsidDel="00000000" w:rsidR="00000000" w:rsidRPr="00000000">
        <w:rPr>
          <w:rFonts w:ascii="Arial" w:cs="Arial" w:eastAsia="Arial" w:hAnsi="Arial"/>
          <w:rtl w:val="0"/>
        </w:rPr>
        <w:t xml:space="preserve">. Os nomes das entidades credenciadas no processo eleitoral serão publicados no Diário Oficial do Município de Belém e na página eletrônica da Fundação Papa João XXIII (https://funpapa.belem.pa.gov.br/), e será enviado para os e-mails indicados pelas entidades no ato da inscrição.</w:t>
      </w:r>
    </w:p>
    <w:p w:rsidR="00000000" w:rsidDel="00000000" w:rsidP="00000000" w:rsidRDefault="00000000" w:rsidRPr="00000000" w14:paraId="00000017">
      <w:pPr>
        <w:spacing w:after="120" w:lineRule="auto"/>
        <w:jc w:val="both"/>
        <w:rPr>
          <w:rFonts w:ascii="Arial" w:cs="Arial" w:eastAsia="Arial" w:hAnsi="Arial"/>
        </w:rPr>
      </w:pPr>
      <w:r w:rsidDel="00000000" w:rsidR="00000000" w:rsidRPr="00000000">
        <w:rPr>
          <w:rFonts w:ascii="Arial" w:cs="Arial" w:eastAsia="Arial" w:hAnsi="Arial"/>
          <w:rtl w:val="0"/>
        </w:rPr>
        <w:t xml:space="preserve">O processo eletivo ocorrerá no seguinte calendário:</w:t>
      </w:r>
    </w:p>
    <w:p w:rsidR="00000000" w:rsidDel="00000000" w:rsidP="00000000" w:rsidRDefault="00000000" w:rsidRPr="00000000" w14:paraId="00000018">
      <w:pPr>
        <w:spacing w:after="120" w:lineRule="auto"/>
        <w:jc w:val="both"/>
        <w:rPr>
          <w:rFonts w:ascii="Arial" w:cs="Arial" w:eastAsia="Arial" w:hAnsi="Arial"/>
          <w:color w:val="ff00ff"/>
        </w:rPr>
      </w:pPr>
      <w:r w:rsidDel="00000000" w:rsidR="00000000" w:rsidRPr="00000000">
        <w:rPr>
          <w:rtl w:val="0"/>
        </w:rPr>
      </w:r>
    </w:p>
    <w:tbl>
      <w:tblPr>
        <w:tblStyle w:val="Table1"/>
        <w:tblW w:w="90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5085"/>
        <w:tblGridChange w:id="0">
          <w:tblGrid>
            <w:gridCol w:w="3975"/>
            <w:gridCol w:w="5085"/>
          </w:tblGrid>
        </w:tblGridChange>
      </w:tblGrid>
      <w:tr>
        <w:trPr>
          <w:cantSplit w:val="0"/>
          <w:trHeight w:val="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ATIVIDADES</w:t>
            </w:r>
          </w:p>
        </w:tc>
      </w:tr>
      <w:tr>
        <w:trPr>
          <w:cantSplit w:val="0"/>
          <w:trHeight w:val="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De 31 de julho a 07 de agosto de 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Recebimento dos documentos para credenciamento</w:t>
            </w:r>
          </w:p>
        </w:tc>
      </w:tr>
      <w:tr>
        <w:trPr>
          <w:cantSplit w:val="0"/>
          <w:trHeight w:val="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10 de agosto de 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Divulgação do resultado preliminar das entidades e candidatos credenciados</w:t>
            </w:r>
          </w:p>
        </w:tc>
      </w:tr>
      <w:tr>
        <w:trPr>
          <w:cantSplit w:val="0"/>
          <w:trHeight w:val="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De 11 a 14 de agosto de 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Recebimento de recursos</w:t>
            </w:r>
          </w:p>
        </w:tc>
      </w:tr>
      <w:tr>
        <w:trPr>
          <w:cantSplit w:val="0"/>
          <w:trHeight w:val="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15 e 16 de agosto de 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Análise de recursos</w:t>
            </w:r>
          </w:p>
        </w:tc>
      </w:tr>
      <w:tr>
        <w:trPr>
          <w:cantSplit w:val="0"/>
          <w:trHeight w:val="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17 de agosto de 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Divulgação do resultado final das entidades e candidatos credenciados</w:t>
            </w:r>
          </w:p>
        </w:tc>
      </w:tr>
      <w:tr>
        <w:trPr>
          <w:cantSplit w:val="0"/>
          <w:trHeight w:val="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23 de agosto de 2023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Assembleia Geral</w:t>
            </w:r>
          </w:p>
        </w:tc>
      </w:tr>
      <w:tr>
        <w:trPr>
          <w:cantSplit w:val="0"/>
          <w:trHeight w:val="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25 de agosto de 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Divulgação das entidades eleitas</w:t>
            </w:r>
          </w:p>
        </w:tc>
      </w:tr>
      <w:tr>
        <w:trPr>
          <w:cantSplit w:val="0"/>
          <w:trHeight w:val="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De 25 a 29 de agosto de 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Envio de cópias autenticadas dos documentos dos titulares e suplentes</w:t>
            </w:r>
          </w:p>
        </w:tc>
      </w:tr>
      <w:tr>
        <w:trPr>
          <w:cantSplit w:val="0"/>
          <w:trHeight w:val="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31 de agosto de 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Envio pela Comissão da ata de eleição e demais documentos para a FUNPAPA</w:t>
            </w:r>
          </w:p>
        </w:tc>
      </w:tr>
    </w:tbl>
    <w:p w:rsidR="00000000" w:rsidDel="00000000" w:rsidP="00000000" w:rsidRDefault="00000000" w:rsidRPr="00000000" w14:paraId="0000002D">
      <w:pPr>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120" w:lineRule="auto"/>
        <w:jc w:val="center"/>
        <w:rPr>
          <w:rFonts w:ascii="Arial" w:cs="Arial" w:eastAsia="Arial" w:hAnsi="Arial"/>
        </w:rPr>
      </w:pPr>
      <w:r w:rsidDel="00000000" w:rsidR="00000000" w:rsidRPr="00000000">
        <w:rPr>
          <w:rFonts w:ascii="Arial" w:cs="Arial" w:eastAsia="Arial" w:hAnsi="Arial"/>
          <w:rtl w:val="0"/>
        </w:rPr>
        <w:t xml:space="preserve">Belém, 13 de junho de 2023</w:t>
      </w:r>
      <w:r w:rsidDel="00000000" w:rsidR="00000000" w:rsidRPr="00000000">
        <w:rPr>
          <w:rFonts w:ascii="Arial" w:cs="Arial" w:eastAsia="Arial" w:hAnsi="Arial"/>
          <w:rtl w:val="0"/>
        </w:rPr>
        <w:t xml:space="preserve">.</w:t>
      </w:r>
    </w:p>
    <w:p w:rsidR="00000000" w:rsidDel="00000000" w:rsidP="00000000" w:rsidRDefault="00000000" w:rsidRPr="00000000" w14:paraId="0000002F">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30">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12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w:t>
      </w:r>
    </w:p>
    <w:p w:rsidR="00000000" w:rsidDel="00000000" w:rsidP="00000000" w:rsidRDefault="00000000" w:rsidRPr="00000000" w14:paraId="00000032">
      <w:pPr>
        <w:spacing w:after="120" w:lineRule="auto"/>
        <w:ind w:hanging="6"/>
        <w:jc w:val="center"/>
        <w:rPr>
          <w:rFonts w:ascii="Arial" w:cs="Arial" w:eastAsia="Arial" w:hAnsi="Arial"/>
          <w:b w:val="1"/>
        </w:rPr>
      </w:pPr>
      <w:r w:rsidDel="00000000" w:rsidR="00000000" w:rsidRPr="00000000">
        <w:rPr>
          <w:rFonts w:ascii="Arial" w:cs="Arial" w:eastAsia="Arial" w:hAnsi="Arial"/>
          <w:b w:val="1"/>
          <w:rtl w:val="0"/>
        </w:rPr>
        <w:t xml:space="preserve">ADRIANO MENDES DE SOUZA</w:t>
      </w:r>
    </w:p>
    <w:p w:rsidR="00000000" w:rsidDel="00000000" w:rsidP="00000000" w:rsidRDefault="00000000" w:rsidRPr="00000000" w14:paraId="00000033">
      <w:pPr>
        <w:spacing w:after="120" w:lineRule="auto"/>
        <w:jc w:val="center"/>
        <w:rPr>
          <w:rFonts w:ascii="Arial" w:cs="Arial" w:eastAsia="Arial" w:hAnsi="Arial"/>
        </w:rPr>
      </w:pPr>
      <w:r w:rsidDel="00000000" w:rsidR="00000000" w:rsidRPr="00000000">
        <w:rPr>
          <w:rFonts w:ascii="Arial" w:cs="Arial" w:eastAsia="Arial" w:hAnsi="Arial"/>
          <w:rtl w:val="0"/>
        </w:rPr>
        <w:t xml:space="preserve">Presidente da Comissão Eleitoral</w:t>
      </w:r>
    </w:p>
    <w:sectPr>
      <w:headerReference r:id="rId8" w:type="default"/>
      <w:footerReference r:id="rId9" w:type="default"/>
      <w:pgSz w:h="16838" w:w="11906" w:orient="portrait"/>
      <w:pgMar w:bottom="1417" w:top="1417" w:left="1701" w:right="1701" w:header="284" w:footer="5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252"/>
        <w:tab w:val="right" w:leader="none" w:pos="8504"/>
        <w:tab w:val="left" w:leader="none" w:pos="7512"/>
      </w:tabs>
      <w:jc w:val="center"/>
      <w:rPr>
        <w:rFonts w:ascii="Arial" w:cs="Arial" w:eastAsia="Arial" w:hAnsi="Arial"/>
        <w:color w:val="000000"/>
        <w:sz w:val="20"/>
        <w:szCs w:val="20"/>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252"/>
        <w:tab w:val="right" w:leader="none" w:pos="8504"/>
        <w:tab w:val="left" w:leader="none" w:pos="7512"/>
      </w:tabs>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Av</w:t>
    </w:r>
    <w:r w:rsidDel="00000000" w:rsidR="00000000" w:rsidRPr="00000000">
      <w:rPr>
        <w:rFonts w:ascii="Arial" w:cs="Arial" w:eastAsia="Arial" w:hAnsi="Arial"/>
        <w:sz w:val="20"/>
        <w:szCs w:val="20"/>
        <w:rtl w:val="0"/>
      </w:rPr>
      <w:t xml:space="preserve">. Romulo Maiorana, 1080, Bairro do Marco</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252"/>
        <w:tab w:val="right" w:leader="none" w:pos="8504"/>
        <w:tab w:val="left" w:leader="none" w:pos="7512"/>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CNPJ: 05.065.664/0001-81</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252"/>
        <w:tab w:val="right" w:leader="none" w:pos="8504"/>
        <w:tab w:val="left" w:leader="none" w:pos="7512"/>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Telefone: 91 3279-5633 / E-mail: funpapa.dabe@yahoo.com.br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6">
    <w:pPr>
      <w:jc w:val="center"/>
      <w:rPr>
        <w:rFonts w:ascii="Arial" w:cs="Arial" w:eastAsia="Arial" w:hAnsi="Arial"/>
        <w:b w:val="1"/>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1292575</wp:posOffset>
          </wp:positionH>
          <wp:positionV relativeFrom="paragraph">
            <wp:posOffset>27305</wp:posOffset>
          </wp:positionV>
          <wp:extent cx="2895600" cy="560705"/>
          <wp:effectExtent b="0" l="0" r="0" t="0"/>
          <wp:wrapNone/>
          <wp:docPr id="3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95600" cy="560705"/>
                  </a:xfrm>
                  <a:prstGeom prst="rect"/>
                  <a:ln/>
                </pic:spPr>
              </pic:pic>
            </a:graphicData>
          </a:graphic>
        </wp:anchor>
      </w:drawing>
    </w:r>
  </w:p>
  <w:p w:rsidR="00000000" w:rsidDel="00000000" w:rsidP="00000000" w:rsidRDefault="00000000" w:rsidRPr="00000000" w14:paraId="00000037">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8">
    <w:pP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9">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A">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PREFEITURA MUNICIPAL DE BELÉM</w:t>
    </w:r>
  </w:p>
  <w:p w:rsidR="00000000" w:rsidDel="00000000" w:rsidP="00000000" w:rsidRDefault="00000000" w:rsidRPr="00000000" w14:paraId="0000003B">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FUNDAÇÃO PAPA JOÃO XXIII</w:t>
    </w:r>
  </w:p>
  <w:p w:rsidR="00000000" w:rsidDel="00000000" w:rsidP="00000000" w:rsidRDefault="00000000" w:rsidRPr="00000000" w14:paraId="0000003C">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DIRETORIA DE ASSISTÊNCIA BÁSICA E ESPECIAL</w:t>
    </w:r>
  </w:p>
  <w:p w:rsidR="00000000" w:rsidDel="00000000" w:rsidP="00000000" w:rsidRDefault="00000000" w:rsidRPr="00000000" w14:paraId="0000003D">
    <w:pPr>
      <w:jc w:val="center"/>
      <w:rPr>
        <w:b w:val="1"/>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C250B"/>
    <w:pPr>
      <w:suppressAutoHyphens w:val="1"/>
    </w:pPr>
    <w:rPr>
      <w:lang w:eastAsia="zh-CN"/>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Cabealho">
    <w:name w:val="header"/>
    <w:basedOn w:val="Normal"/>
    <w:link w:val="CabealhoChar"/>
    <w:uiPriority w:val="99"/>
    <w:unhideWhenUsed w:val="1"/>
    <w:rsid w:val="008C250B"/>
    <w:pPr>
      <w:tabs>
        <w:tab w:val="center" w:pos="4252"/>
        <w:tab w:val="right" w:pos="8504"/>
      </w:tabs>
    </w:pPr>
  </w:style>
  <w:style w:type="character" w:styleId="CabealhoChar" w:customStyle="1">
    <w:name w:val="Cabeçalho Char"/>
    <w:basedOn w:val="Fontepargpadro"/>
    <w:link w:val="Cabealho"/>
    <w:uiPriority w:val="99"/>
    <w:rsid w:val="008C250B"/>
    <w:rPr>
      <w:rFonts w:ascii="Times New Roman" w:cs="Times New Roman" w:eastAsia="Times New Roman" w:hAnsi="Times New Roman"/>
      <w:sz w:val="24"/>
      <w:szCs w:val="24"/>
      <w:lang w:eastAsia="zh-CN"/>
    </w:rPr>
  </w:style>
  <w:style w:type="paragraph" w:styleId="Rodap">
    <w:name w:val="footer"/>
    <w:basedOn w:val="Normal"/>
    <w:link w:val="RodapChar"/>
    <w:unhideWhenUsed w:val="1"/>
    <w:rsid w:val="008C250B"/>
    <w:pPr>
      <w:tabs>
        <w:tab w:val="center" w:pos="4252"/>
        <w:tab w:val="right" w:pos="8504"/>
      </w:tabs>
    </w:pPr>
  </w:style>
  <w:style w:type="character" w:styleId="RodapChar" w:customStyle="1">
    <w:name w:val="Rodapé Char"/>
    <w:basedOn w:val="Fontepargpadro"/>
    <w:link w:val="Rodap"/>
    <w:rsid w:val="008C250B"/>
    <w:rPr>
      <w:rFonts w:ascii="Times New Roman" w:cs="Times New Roman" w:eastAsia="Times New Roman" w:hAnsi="Times New Roman"/>
      <w:sz w:val="24"/>
      <w:szCs w:val="24"/>
      <w:lang w:eastAsia="zh-CN"/>
    </w:rPr>
  </w:style>
  <w:style w:type="paragraph" w:styleId="Textodebalo">
    <w:name w:val="Balloon Text"/>
    <w:basedOn w:val="Normal"/>
    <w:link w:val="TextodebaloChar"/>
    <w:uiPriority w:val="99"/>
    <w:semiHidden w:val="1"/>
    <w:unhideWhenUsed w:val="1"/>
    <w:rsid w:val="001013C9"/>
    <w:rPr>
      <w:rFonts w:ascii="Tahoma" w:cs="Tahoma" w:hAnsi="Tahoma"/>
      <w:sz w:val="16"/>
      <w:szCs w:val="16"/>
    </w:rPr>
  </w:style>
  <w:style w:type="character" w:styleId="TextodebaloChar" w:customStyle="1">
    <w:name w:val="Texto de balão Char"/>
    <w:basedOn w:val="Fontepargpadro"/>
    <w:link w:val="Textodebalo"/>
    <w:uiPriority w:val="99"/>
    <w:semiHidden w:val="1"/>
    <w:rsid w:val="001013C9"/>
    <w:rPr>
      <w:rFonts w:ascii="Tahoma" w:cs="Tahoma" w:eastAsia="Times New Roman" w:hAnsi="Tahoma"/>
      <w:sz w:val="16"/>
      <w:szCs w:val="16"/>
      <w:lang w:eastAsia="zh-CN"/>
    </w:rPr>
  </w:style>
  <w:style w:type="character" w:styleId="nfaseSutil">
    <w:name w:val="Subtle Emphasis"/>
    <w:basedOn w:val="Fontepargpadro"/>
    <w:uiPriority w:val="19"/>
    <w:qFormat w:val="1"/>
    <w:rsid w:val="000A564B"/>
    <w:rPr>
      <w:i w:val="1"/>
      <w:iCs w:val="1"/>
      <w:color w:val="808080" w:themeColor="text1" w:themeTint="00007F"/>
    </w:rPr>
  </w:style>
  <w:style w:type="paragraph" w:styleId="SemEspaamento">
    <w:name w:val="No Spacing"/>
    <w:uiPriority w:val="1"/>
    <w:qFormat w:val="1"/>
    <w:rsid w:val="00690016"/>
    <w:rPr>
      <w:rFonts w:cs="Arial"/>
      <w:color w:val="000080"/>
      <w:sz w:val="26"/>
    </w:rPr>
  </w:style>
  <w:style w:type="paragraph" w:styleId="Recuodecorpodetexto">
    <w:name w:val="Body Text Indent"/>
    <w:basedOn w:val="Normal"/>
    <w:link w:val="RecuodecorpodetextoChar"/>
    <w:rsid w:val="00C02B9C"/>
    <w:pPr>
      <w:suppressAutoHyphens w:val="0"/>
      <w:ind w:firstLine="1716"/>
      <w:jc w:val="both"/>
    </w:pPr>
    <w:rPr>
      <w:szCs w:val="20"/>
      <w:lang w:eastAsia="x-none" w:val="x-none"/>
    </w:rPr>
  </w:style>
  <w:style w:type="character" w:styleId="RecuodecorpodetextoChar" w:customStyle="1">
    <w:name w:val="Recuo de corpo de texto Char"/>
    <w:basedOn w:val="Fontepargpadro"/>
    <w:link w:val="Recuodecorpodetexto"/>
    <w:rsid w:val="00C02B9C"/>
    <w:rPr>
      <w:rFonts w:ascii="Times New Roman" w:cs="Times New Roman" w:eastAsia="Times New Roman" w:hAnsi="Times New Roman"/>
      <w:sz w:val="24"/>
      <w:szCs w:val="20"/>
      <w:lang w:eastAsia="x-none" w:val="x-none"/>
    </w:rPr>
  </w:style>
  <w:style w:type="paragraph" w:styleId="Corpodetexto3">
    <w:name w:val="Body Text 3"/>
    <w:basedOn w:val="Normal"/>
    <w:link w:val="Corpodetexto3Char"/>
    <w:uiPriority w:val="99"/>
    <w:unhideWhenUsed w:val="1"/>
    <w:rsid w:val="00C02B9C"/>
    <w:pPr>
      <w:suppressAutoHyphens w:val="0"/>
      <w:spacing w:after="120"/>
    </w:pPr>
    <w:rPr>
      <w:sz w:val="16"/>
      <w:szCs w:val="16"/>
      <w:lang w:eastAsia="pt-BR"/>
    </w:rPr>
  </w:style>
  <w:style w:type="character" w:styleId="Corpodetexto3Char" w:customStyle="1">
    <w:name w:val="Corpo de texto 3 Char"/>
    <w:basedOn w:val="Fontepargpadro"/>
    <w:link w:val="Corpodetexto3"/>
    <w:uiPriority w:val="99"/>
    <w:rsid w:val="00C02B9C"/>
    <w:rPr>
      <w:rFonts w:ascii="Times New Roman" w:cs="Times New Roman" w:eastAsia="Times New Roman" w:hAnsi="Times New Roman"/>
      <w:sz w:val="16"/>
      <w:szCs w:val="16"/>
      <w:lang w:eastAsia="pt-BR"/>
    </w:rPr>
  </w:style>
  <w:style w:type="paragraph" w:styleId="dou-paragraph" w:customStyle="1">
    <w:name w:val="dou-paragraph"/>
    <w:basedOn w:val="Normal"/>
    <w:rsid w:val="00D12B71"/>
    <w:pPr>
      <w:suppressAutoHyphens w:val="0"/>
      <w:spacing w:after="100" w:afterAutospacing="1" w:before="100" w:beforeAutospacing="1"/>
    </w:pPr>
    <w:rPr>
      <w:lang w:eastAsia="pt-BR"/>
    </w:rPr>
  </w:style>
  <w:style w:type="character" w:styleId="Hyperlink">
    <w:name w:val="Hyperlink"/>
    <w:basedOn w:val="Fontepargpadro"/>
    <w:uiPriority w:val="99"/>
    <w:unhideWhenUsed w:val="1"/>
    <w:rsid w:val="00D12B71"/>
    <w:rPr>
      <w:color w:val="0000ff"/>
      <w:u w:val="single"/>
    </w:rPr>
  </w:style>
  <w:style w:type="character" w:styleId="Forte">
    <w:name w:val="Strong"/>
    <w:basedOn w:val="Fontepargpadro"/>
    <w:uiPriority w:val="22"/>
    <w:qFormat w:val="1"/>
    <w:rsid w:val="00D12B71"/>
    <w:rPr>
      <w:b w:val="1"/>
      <w:bCs w:val="1"/>
    </w:rPr>
  </w:style>
  <w:style w:type="paragraph" w:styleId="PargrafodaLista">
    <w:name w:val="List Paragraph"/>
    <w:basedOn w:val="Normal"/>
    <w:uiPriority w:val="34"/>
    <w:qFormat w:val="1"/>
    <w:rsid w:val="0060332A"/>
    <w:pPr>
      <w:ind w:left="720"/>
      <w:contextualSpacing w:val="1"/>
    </w:pPr>
  </w:style>
  <w:style w:type="character" w:styleId="MenoPendente">
    <w:name w:val="Unresolved Mention"/>
    <w:basedOn w:val="Fontepargpadro"/>
    <w:uiPriority w:val="99"/>
    <w:semiHidden w:val="1"/>
    <w:unhideWhenUsed w:val="1"/>
    <w:rsid w:val="00E45010"/>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npapa.belem.pa.gov.b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GLaiCSrC9duQ1GiOR1xTXe2D6Q==">CgMxLjA4AHIhMXp6LUo5bmlwaXlMd200bEkxS1loRnRhU2RzUTlUVzdj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2021-05-12T15:40:00Z</dcterms:created>
  <dc:creator>Gabinete</dc:creator>
</cp:coreProperties>
</file>